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E3" w:rsidRPr="00B63BE3" w:rsidRDefault="00B63BE3" w:rsidP="00B63B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r w:rsidRPr="00B63BE3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ru-RU"/>
        </w:rPr>
        <w:t>WATCO® WIPE-ON</w:t>
      </w:r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 </w:t>
      </w:r>
      <w:r w:rsidRPr="00B63BE3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ru-RU"/>
        </w:rPr>
        <w:t>POLY</w:t>
      </w:r>
    </w:p>
    <w:p w:rsidR="00B63BE3" w:rsidRPr="00B63BE3" w:rsidRDefault="00B63BE3" w:rsidP="00B63B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r w:rsidRPr="00B63BE3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ru-RU"/>
        </w:rPr>
        <w:t>ПОЛИРОЛЬ ДЛЯ ДЕРЕВА</w:t>
      </w:r>
    </w:p>
    <w:p w:rsidR="00B63BE3" w:rsidRPr="00B63BE3" w:rsidRDefault="00B63BE3" w:rsidP="00B63B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WATCO® WIPE-ON POLY - совмещает стойкость полиуретановой защиты с красотой обработанных вручную деревянных поверхностей. Создает прозрачное покрытие, устойчивое к воздействию воды и бытовых химических веществ.</w:t>
      </w:r>
    </w:p>
    <w:p w:rsidR="00B63BE3" w:rsidRPr="00B63BE3" w:rsidRDefault="00B63BE3" w:rsidP="00B63B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r w:rsidRPr="00B63BE3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ru-RU"/>
        </w:rPr>
        <w:t>ХАРАКТЕРИСТИКИ МАТЕРИАЛА:</w:t>
      </w:r>
    </w:p>
    <w:p w:rsidR="00B63BE3" w:rsidRPr="00B63BE3" w:rsidRDefault="00B63BE3" w:rsidP="00B63B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создает прочное защитное покрытие;</w:t>
      </w:r>
    </w:p>
    <w:p w:rsidR="00B63BE3" w:rsidRPr="00B63BE3" w:rsidRDefault="00B63BE3" w:rsidP="00B63B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защищает от воды, пятен, бытовых проливов, чистящих средств, следов естественного износа и других повреждений;</w:t>
      </w:r>
    </w:p>
    <w:p w:rsidR="00B63BE3" w:rsidRPr="00B63BE3" w:rsidRDefault="00B63BE3" w:rsidP="00B63B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обновляет внешний вид обработанных поверхностей, цвет тонированной древесины становится более глубоким и насыщенным;</w:t>
      </w:r>
    </w:p>
    <w:p w:rsidR="00B63BE3" w:rsidRPr="00B63BE3" w:rsidRDefault="00B63BE3" w:rsidP="00B63B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легко обрабатывать мебель с витиеватым и орнаментальным дизайном, а также углы и щели, труднодостижимые кистью;</w:t>
      </w:r>
    </w:p>
    <w:p w:rsidR="00B63BE3" w:rsidRPr="00B63BE3" w:rsidRDefault="00B63BE3" w:rsidP="00B63B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proofErr w:type="gramStart"/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легок</w:t>
      </w:r>
      <w:proofErr w:type="gramEnd"/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 xml:space="preserve"> в нанесении;</w:t>
      </w:r>
    </w:p>
    <w:p w:rsidR="00B63BE3" w:rsidRPr="00B63BE3" w:rsidRDefault="00B63BE3" w:rsidP="00B63B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износостойкий;</w:t>
      </w:r>
    </w:p>
    <w:p w:rsidR="00B63BE3" w:rsidRPr="00B63BE3" w:rsidRDefault="00B63BE3" w:rsidP="00B63B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бесцветный;</w:t>
      </w:r>
    </w:p>
    <w:p w:rsidR="00B63BE3" w:rsidRPr="00B63BE3" w:rsidRDefault="00B63BE3" w:rsidP="00B63B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для внутренних работ.</w:t>
      </w:r>
    </w:p>
    <w:p w:rsidR="00B63BE3" w:rsidRPr="00B63BE3" w:rsidRDefault="00B63BE3" w:rsidP="00B63B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r w:rsidRPr="00B63BE3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ru-RU"/>
        </w:rPr>
        <w:t>ТИП ПОВЕРХНОСТИ:</w:t>
      </w:r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 ранее покрытые, окрашенные или оголенные деревянные поверхности.</w:t>
      </w:r>
    </w:p>
    <w:p w:rsidR="00B63BE3" w:rsidRPr="00B63BE3" w:rsidRDefault="00B63BE3" w:rsidP="00B63B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proofErr w:type="gramStart"/>
      <w:r w:rsidRPr="00B63BE3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ru-RU"/>
        </w:rPr>
        <w:t>ВОЗМОЖНОЕ ПРИМЕНЕНИЕ: </w:t>
      </w:r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 xml:space="preserve">мебель, шкафы, двери, столы, </w:t>
      </w:r>
      <w:proofErr w:type="spellStart"/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барные</w:t>
      </w:r>
      <w:proofErr w:type="spellEnd"/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 xml:space="preserve"> стойки, антиквариат, рамки для картин, резные изделия, деревянный декор.</w:t>
      </w:r>
      <w:proofErr w:type="gramEnd"/>
    </w:p>
    <w:p w:rsidR="00B63BE3" w:rsidRPr="00B63BE3" w:rsidRDefault="00B63BE3" w:rsidP="00B63B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r w:rsidRPr="00B63BE3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ru-RU"/>
        </w:rPr>
        <w:t>Ограничения: </w:t>
      </w:r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не рекомендуется для полов и наружных деревянных поверхностей.</w:t>
      </w:r>
    </w:p>
    <w:p w:rsidR="00B63BE3" w:rsidRPr="00B63BE3" w:rsidRDefault="00B63BE3" w:rsidP="00B63B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r w:rsidRPr="00B63BE3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ru-RU"/>
        </w:rPr>
        <w:t>ВИЗУАЛЬНЫЙ ЭФФЕКТ: </w:t>
      </w:r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прозрачное глянцевое или полуматовое покрытие.</w:t>
      </w:r>
    </w:p>
    <w:p w:rsidR="00B63BE3" w:rsidRPr="00B63BE3" w:rsidRDefault="00B63BE3" w:rsidP="00B63B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r w:rsidRPr="00B63BE3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ru-RU"/>
        </w:rPr>
        <w:t>СОСТАВ: </w:t>
      </w:r>
      <w:proofErr w:type="spellStart"/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уретан-алкид</w:t>
      </w:r>
      <w:proofErr w:type="spellEnd"/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уайт-спирит</w:t>
      </w:r>
      <w:proofErr w:type="spellEnd"/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. </w:t>
      </w:r>
      <w:r w:rsidRPr="00B63BE3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ru-RU"/>
        </w:rPr>
        <w:t>ЛОВ</w:t>
      </w:r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: менее 460 г/л.</w:t>
      </w:r>
    </w:p>
    <w:p w:rsidR="00B63BE3" w:rsidRPr="00B63BE3" w:rsidRDefault="00B63BE3" w:rsidP="00B63B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r w:rsidRPr="00B63BE3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ru-RU"/>
        </w:rPr>
        <w:t>УПАКОВКА: </w:t>
      </w:r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канистра 0, 946 л.</w:t>
      </w:r>
    </w:p>
    <w:p w:rsidR="00B63BE3" w:rsidRPr="00B63BE3" w:rsidRDefault="00B63BE3" w:rsidP="00B63B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r w:rsidRPr="00B63BE3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ru-RU"/>
        </w:rPr>
        <w:t>ВЕС: </w:t>
      </w:r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0,88 кг/л = 0,83 кг/0, 946 л.</w:t>
      </w:r>
    </w:p>
    <w:p w:rsidR="00B63BE3" w:rsidRPr="00B63BE3" w:rsidRDefault="00B63BE3" w:rsidP="00B63B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r w:rsidRPr="00B63BE3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ru-RU"/>
        </w:rPr>
        <w:t>СУХОЙ ОСТАТОК: </w:t>
      </w:r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48-50% по массе.</w:t>
      </w:r>
    </w:p>
    <w:p w:rsidR="00B63BE3" w:rsidRPr="00B63BE3" w:rsidRDefault="00B63BE3" w:rsidP="00B63B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r w:rsidRPr="00B63BE3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ru-RU"/>
        </w:rPr>
        <w:t>РАСХОД: </w:t>
      </w:r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18 м</w:t>
      </w:r>
      <w:proofErr w:type="gramStart"/>
      <w:r w:rsidRPr="00B63BE3">
        <w:rPr>
          <w:rFonts w:ascii="Calibri" w:eastAsia="Times New Roman" w:hAnsi="Calibri" w:cs="Segoe UI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B63BE3">
        <w:rPr>
          <w:rFonts w:ascii="Calibri" w:eastAsia="Times New Roman" w:hAnsi="Calibri" w:cs="Segoe UI"/>
          <w:color w:val="000000"/>
          <w:sz w:val="24"/>
          <w:szCs w:val="24"/>
          <w:vertAlign w:val="superscript"/>
          <w:lang w:eastAsia="ru-RU"/>
        </w:rPr>
        <w:t> </w:t>
      </w:r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/0,946 л, зависит от породы и пористости древесины.</w:t>
      </w:r>
    </w:p>
    <w:p w:rsidR="00B63BE3" w:rsidRPr="00B63BE3" w:rsidRDefault="00B63BE3" w:rsidP="00B63B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r w:rsidRPr="00B63BE3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ru-RU"/>
        </w:rPr>
        <w:t>ИНСТРУМЕНТ: </w:t>
      </w:r>
      <w:proofErr w:type="spellStart"/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безворсовая</w:t>
      </w:r>
      <w:proofErr w:type="spellEnd"/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 xml:space="preserve"> ткань или салфетка хорошего качества.</w:t>
      </w:r>
    </w:p>
    <w:p w:rsidR="00B63BE3" w:rsidRPr="00B63BE3" w:rsidRDefault="00B63BE3" w:rsidP="00B63B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proofErr w:type="gramStart"/>
      <w:r w:rsidRPr="00B63BE3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ru-RU"/>
        </w:rPr>
        <w:t>ПОДГОТОВКА ПОВЕРХНОСТИ: </w:t>
      </w:r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поверхность должна быть чистой, сухой, без воска, жира, масла, шеллака, лака, плесени.</w:t>
      </w:r>
      <w:proofErr w:type="gramEnd"/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 xml:space="preserve"> Удалите воск смывкой для воска, шеллак – смывкой для краски, плесень – 10%-м водным раствором бытового отбеливателя. Если потребуется, отшлифуйте деревянную поверхность наждачной бумагой в направлении ворса древесины. Начните с наждачной бумаги зернистостью №120, затем продолжайте №150, №180 и №220. Удалите всю шлифовальную пыль пылесосом, затем протрите тряпкой или ветошью, смоченной </w:t>
      </w:r>
      <w:proofErr w:type="spellStart"/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уайт-спиритом</w:t>
      </w:r>
      <w:proofErr w:type="spellEnd"/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.</w:t>
      </w:r>
    </w:p>
    <w:p w:rsidR="00B63BE3" w:rsidRPr="00B63BE3" w:rsidRDefault="00B63BE3" w:rsidP="00B63B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r w:rsidRPr="00B63BE3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ru-RU"/>
        </w:rPr>
        <w:t>НАНЕСЕНИЕ</w:t>
      </w:r>
    </w:p>
    <w:p w:rsidR="00B63BE3" w:rsidRPr="00B63BE3" w:rsidRDefault="00B63BE3" w:rsidP="00B63B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 xml:space="preserve">При нанесении поверх белого или пастельных оттенков покрытия протестируйте продукт в незаметном месте, т. к.   может произойти пожелтение. Используйте полироль при температуре </w:t>
      </w:r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lastRenderedPageBreak/>
        <w:t xml:space="preserve">окружающей среды в пределах 16-32 ° C и относительной влажности ниже 85%. При повышенной влажности требуется больше времени для полного высыхания. Тщательно перемешайте содержимое контейнера, но не трясите. Нанесите слой </w:t>
      </w:r>
      <w:proofErr w:type="spellStart"/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полироля</w:t>
      </w:r>
      <w:proofErr w:type="spellEnd"/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 xml:space="preserve">. Дайте высохнуть в течение 4-х часов. Нанесите второй слой. Для лучшей защиты рекомендуется нанести третий слой через 4 часа. Перед нанесением последнего слоя, слегка зашлифуйте поверхность в направлении волокон, используя наждачную бумагу №220. Удалите всю шлифовальную пыль пылесосом, затем протрите тряпкой, смоченной </w:t>
      </w:r>
      <w:proofErr w:type="spellStart"/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уайт-спиритом</w:t>
      </w:r>
      <w:proofErr w:type="spellEnd"/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.</w:t>
      </w:r>
    </w:p>
    <w:p w:rsidR="00B63BE3" w:rsidRPr="00B63BE3" w:rsidRDefault="00B63BE3" w:rsidP="00B63B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r w:rsidRPr="00B63BE3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ru-RU"/>
        </w:rPr>
        <w:t>ВРЕМЯ ВЫСЫХАНИЯ </w:t>
      </w:r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при температуре 21-27</w:t>
      </w:r>
      <w:r w:rsidRPr="00B63BE3">
        <w:rPr>
          <w:rFonts w:ascii="Calibri" w:eastAsia="Times New Roman" w:hAnsi="Calibri" w:cs="Segoe UI"/>
          <w:color w:val="000000"/>
          <w:sz w:val="24"/>
          <w:szCs w:val="24"/>
          <w:vertAlign w:val="superscript"/>
          <w:lang w:eastAsia="ru-RU"/>
        </w:rPr>
        <w:t>0</w:t>
      </w:r>
      <w:proofErr w:type="gramStart"/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 С</w:t>
      </w:r>
      <w:proofErr w:type="gramEnd"/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 xml:space="preserve"> и 50% относительной влажности:</w:t>
      </w:r>
    </w:p>
    <w:p w:rsidR="00B63BE3" w:rsidRPr="00B63BE3" w:rsidRDefault="00B63BE3" w:rsidP="00B63B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 xml:space="preserve">до </w:t>
      </w:r>
      <w:proofErr w:type="spellStart"/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отлипа</w:t>
      </w:r>
      <w:proofErr w:type="spellEnd"/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 xml:space="preserve"> – 2-4 часа;</w:t>
      </w:r>
    </w:p>
    <w:p w:rsidR="00B63BE3" w:rsidRPr="00B63BE3" w:rsidRDefault="00B63BE3" w:rsidP="00B63B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до повторного покрытия – 4-6 часов;</w:t>
      </w:r>
    </w:p>
    <w:p w:rsidR="00B63BE3" w:rsidRPr="00B63BE3" w:rsidRDefault="00B63BE3" w:rsidP="00B63B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до складирования – 8-12 часов;</w:t>
      </w:r>
    </w:p>
    <w:p w:rsidR="00B63BE3" w:rsidRPr="00B63BE3" w:rsidRDefault="00B63BE3" w:rsidP="00B63B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до полного высыхания – 24 часа.</w:t>
      </w:r>
    </w:p>
    <w:p w:rsidR="00B63BE3" w:rsidRPr="00B63BE3" w:rsidRDefault="00B63BE3" w:rsidP="00B63B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r w:rsidRPr="00B63BE3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ru-RU"/>
        </w:rPr>
        <w:t>Очистка</w:t>
      </w:r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 xml:space="preserve"> рук и инструментов </w:t>
      </w:r>
      <w:proofErr w:type="spellStart"/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уайт-спиритом</w:t>
      </w:r>
      <w:proofErr w:type="spellEnd"/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.</w:t>
      </w:r>
    </w:p>
    <w:p w:rsidR="00B63BE3" w:rsidRPr="00B63BE3" w:rsidRDefault="00B63BE3" w:rsidP="00B63B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r w:rsidRPr="00B63BE3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ru-RU"/>
        </w:rPr>
        <w:t>Хранение и утилизация промасленной ветоши</w:t>
      </w:r>
    </w:p>
    <w:p w:rsidR="00B63BE3" w:rsidRPr="00B63BE3" w:rsidRDefault="00B63BE3" w:rsidP="00B63B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 xml:space="preserve">Текстильных изделия, которые пропитаны маслами или лакокрасочными материалами, в составе которых есть растворитель, во время гниения или контакте тканей с кислородом могут выделять тепло, что приводит к повышению </w:t>
      </w:r>
      <w:proofErr w:type="spellStart"/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пожароопасности</w:t>
      </w:r>
      <w:proofErr w:type="spellEnd"/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. В случае нахождения отработанного текстиля под солнечными лучами скорость нагревания увеличивается.</w:t>
      </w:r>
    </w:p>
    <w:p w:rsidR="00B63BE3" w:rsidRPr="00B63BE3" w:rsidRDefault="00B63BE3" w:rsidP="00B63B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r w:rsidRPr="00B63BE3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ru-RU"/>
        </w:rPr>
        <w:t>Запрещается промасленную ветошь выкидывать в контейнер с легко воспламеняющимся мусором или хранить рядом с</w:t>
      </w:r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 </w:t>
      </w:r>
      <w:r w:rsidRPr="00B63BE3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ru-RU"/>
        </w:rPr>
        <w:t>легковоспламеняющимися материалами </w:t>
      </w:r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(деревянные опилки, стружки ветхое дерево, упаковочной бумаги и т.д.) .</w:t>
      </w:r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br/>
        <w:t xml:space="preserve">Использованную ветошь собирайте и </w:t>
      </w:r>
      <w:proofErr w:type="gramStart"/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утилизируйте</w:t>
      </w:r>
      <w:proofErr w:type="gramEnd"/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 xml:space="preserve"> /выбрасывайте отдельно от обычного мусора. Хранить промасленную ветошь рекомендуется в герметичных металлических емкостях с плотной крышкой.</w:t>
      </w:r>
    </w:p>
    <w:p w:rsidR="00B63BE3" w:rsidRPr="00B63BE3" w:rsidRDefault="00B63BE3" w:rsidP="00B63B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r w:rsidRPr="00B63BE3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ru-RU"/>
        </w:rPr>
        <w:t>Хранение:</w:t>
      </w:r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 канистры после открытия не сохраняют герметичность. Для длительного хранения тщательно перемешайте содержимое канистры и перелейте в герметичную тару.</w:t>
      </w:r>
    </w:p>
    <w:p w:rsidR="00B63BE3" w:rsidRPr="00B63BE3" w:rsidRDefault="00B63BE3" w:rsidP="00B63B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r w:rsidRPr="00B63BE3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ru-RU"/>
        </w:rPr>
        <w:t>Меры предосторожности:</w:t>
      </w:r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 избегайте попадания в глаза. Надевайте очки, защитную одежду и химически стойкие перчатки. В случае контакта промойте глаза достаточным количеством воды не менее 15 мин. Не принимать внутрь. При проглатывании обратитесь к врачу. Обеспечьте хорошую вентиляцию при нанесении и сушке. Если испытываете затруднения в дыхании, головную боль, слезятся глаза, увеличьте приток свежего воздуха. Помойте тщательно руки после работы. Держите емкость закрытой при хранении.</w:t>
      </w:r>
    </w:p>
    <w:p w:rsidR="00B63BE3" w:rsidRPr="00B63BE3" w:rsidRDefault="00B63BE3" w:rsidP="00B63B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r w:rsidRPr="00B63BE3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ru-RU"/>
        </w:rPr>
        <w:t>Держите подальше от детей!</w:t>
      </w:r>
    </w:p>
    <w:p w:rsidR="00B63BE3" w:rsidRPr="00B63BE3" w:rsidRDefault="00B63BE3" w:rsidP="00B63B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r w:rsidRPr="00B63BE3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ru-RU"/>
        </w:rPr>
        <w:t>Срок хранения: 7 лет. </w:t>
      </w:r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Дата изготовления указана на упаковке.</w:t>
      </w:r>
    </w:p>
    <w:p w:rsidR="00B63BE3" w:rsidRPr="00B63BE3" w:rsidRDefault="00B63BE3" w:rsidP="00B63BE3">
      <w:p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  <w:r w:rsidRPr="00B63BE3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ru-RU"/>
        </w:rPr>
        <w:t>Производитель: </w:t>
      </w:r>
      <w:proofErr w:type="spellStart"/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Rust-Oleum</w:t>
      </w:r>
      <w:proofErr w:type="spellEnd"/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 xml:space="preserve">, США, 11HAWTHORN </w:t>
      </w:r>
      <w:proofErr w:type="spellStart"/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Pkwy</w:t>
      </w:r>
      <w:proofErr w:type="spellEnd"/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 xml:space="preserve">. </w:t>
      </w:r>
      <w:proofErr w:type="spellStart"/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Vernon</w:t>
      </w:r>
      <w:proofErr w:type="spellEnd"/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Hills</w:t>
      </w:r>
      <w:proofErr w:type="spellEnd"/>
      <w:r w:rsidRPr="00B63BE3">
        <w:rPr>
          <w:rFonts w:ascii="Calibri" w:eastAsia="Times New Roman" w:hAnsi="Calibri" w:cs="Segoe UI"/>
          <w:color w:val="000000"/>
          <w:sz w:val="24"/>
          <w:szCs w:val="24"/>
          <w:lang w:eastAsia="ru-RU"/>
        </w:rPr>
        <w:t>, IL 60061.</w:t>
      </w:r>
    </w:p>
    <w:p w:rsidR="00553FC6" w:rsidRDefault="00553FC6"/>
    <w:sectPr w:rsidR="00553FC6" w:rsidSect="00B63BE3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62027"/>
    <w:multiLevelType w:val="multilevel"/>
    <w:tmpl w:val="45EC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C204BB"/>
    <w:multiLevelType w:val="multilevel"/>
    <w:tmpl w:val="DA72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BE3"/>
    <w:rsid w:val="00057C97"/>
    <w:rsid w:val="00081F37"/>
    <w:rsid w:val="003C5CAF"/>
    <w:rsid w:val="00553FC6"/>
    <w:rsid w:val="008E466E"/>
    <w:rsid w:val="00B6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B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9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2</cp:revision>
  <dcterms:created xsi:type="dcterms:W3CDTF">2022-04-07T10:16:00Z</dcterms:created>
  <dcterms:modified xsi:type="dcterms:W3CDTF">2022-04-07T10:18:00Z</dcterms:modified>
</cp:coreProperties>
</file>